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0"/>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Taisuke Itagaki 板垣退助</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板垣退助（いたがき たいすけ）は、1837年（天保8年）に土佐国高知城下（現在の高知県高知市）で生まれた、幕末から明治時代にかけて活躍した日本の政治家である。彼は、明治日本において国民の政治参加を求める自由民権運動の指導者として知られ、日本の近代的な議会政治の基礎を築いた重要人物である。</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板垣は土佐藩の下級武士の家に生まれ、幼い頃から武士としての教育を受けた。剣術や学問に励み、若い頃から強い正義感と行動力を持っていたとされる。幕末期には尊王攘夷思想の影響を受け、土佐藩内で改革を求める立場に立った。やがて軍事面でも才能を発揮し、戊辰戦争では新政府軍側として戦い、東征大総督参謀などの重要な役職を務めた。</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明治維新後、板垣は新政府の中枢に入り、参議として国の政治に深く関わった。しかし1873年、朝鮮への出兵を主張する征韓論をめぐって政府の方針と対立し、西郷隆盛らとともに政府を辞職する。この出来事は、板垣の政治人生における大きな転換点となった。</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政府を離れた後、板垣は「政治は一部の指導者だけでなく、国民全体によって行われるべきだ」と考えるようになり、国会開設と憲法制定を求める運動を本格的に開始する。1874年には「民撰議院設立建白書」を政府に提出し、国民によって選ばれた議会の設立を強く要求した。この主張は当時としては非常に先進的であり、多くの人々に影響を与えた。</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この動きは全国へと広がり、やがて自由民権運動として発展する。板垣は各地で演説を行い、農民や町民に対して政治参加の重要性を訴えた。1881年には、日本初の本格的な政党である自由党を結成し、議会政治の実現を目指して組織的な政治活動を展開した。自由党は地方を中心に多くの支持を集め、日本社会に「政党」という概念を定着させる役割を果たした。</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板垣の活動は政府にとって大きな脅威となり、自由民権運動は弾圧を受けることもあった。また、板垣自身も暗殺未遂事件に遭遇している。その際に彼が述べたとされる「板垣死すとも自由は死せず」という言葉は、自由民権運動を象徴する名言として現在まで語り継がれている。</w:t>
      </w:r>
    </w:p>
    <w:p w:rsidR="00000000" w:rsidDel="00000000" w:rsidP="00000000" w:rsidRDefault="00000000" w:rsidRPr="00000000" w14:paraId="00000008">
      <w:pPr>
        <w:spacing w:after="240" w:before="240" w:lineRule="auto"/>
        <w:rPr/>
      </w:pPr>
      <w:r w:rsidDel="00000000" w:rsidR="00000000" w:rsidRPr="00000000">
        <w:rPr>
          <w:rFonts w:ascii="Arial Unicode MS" w:cs="Arial Unicode MS" w:eastAsia="Arial Unicode MS" w:hAnsi="Arial Unicode MS"/>
          <w:rtl w:val="0"/>
        </w:rPr>
        <w:t xml:space="preserve">1889年に大日本帝国憲法が公布され、1890年に帝国議会が開設されると、板垣の長年の主張は一定の形で実現した。その後、彼は政治の現場に復帰し、内務大臣として行政にも携わった。1898年には大隈重信とともに、初の本格的な**政党内閣（隈板内閣）**を成立させ、日本の政党政治の出発点に立ち会った。</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晩年の板垣は政治活動を続けつつ、自身の経験や思想を文章に残し、後進の育成にも力を注いだ。1919年に82歳で死去するまで、日本の政治が「君主中心」から「国民参加型」へと変化する過程を見届けた。</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板垣退助は、武士から近代政治家へと転身し、日本における民主的政治制度の基礎を築いた人物である。その思想と行動は、現在の日本の議会制民主主義の原点の一つとして、高く評価されている。</w:t>
      </w:r>
    </w:p>
    <w:p w:rsidR="00000000" w:rsidDel="00000000" w:rsidP="00000000" w:rsidRDefault="00000000" w:rsidRPr="00000000" w14:paraId="0000000B">
      <w:pPr>
        <w:rPr>
          <w:sz w:val="20"/>
          <w:szCs w:val="20"/>
        </w:rPr>
      </w:pPr>
      <w:r w:rsidDel="00000000" w:rsidR="00000000" w:rsidRPr="00000000">
        <w:rPr>
          <w:b w:val="1"/>
          <w:bCs w:val="1"/>
          <w:sz w:val="26"/>
          <w:szCs w:val="26"/>
          <w:rtl w:val="0"/>
        </w:rPr>
        <w:tab/>
        <w:tab/>
        <w:tab/>
        <w:tab/>
        <w:tab/>
        <w:tab/>
        <w:tab/>
        <w:tab/>
        <w:tab/>
      </w:r>
      <w:r w:rsidDel="00000000" w:rsidR="00000000" w:rsidRPr="00000000">
        <w:rPr>
          <w:sz w:val="20"/>
          <w:szCs w:val="20"/>
          <w:rtl w:val="0"/>
        </w:rPr>
        <w:t xml:space="preserve">Amane TANIGAWA</w:t>
      </w:r>
    </w:p>
    <w:p w:rsidR="00000000" w:rsidDel="00000000" w:rsidP="00000000" w:rsidRDefault="00000000" w:rsidRPr="00000000" w14:paraId="0000000C">
      <w:pPr>
        <w:rPr>
          <w:sz w:val="20"/>
          <w:szCs w:val="20"/>
        </w:rPr>
      </w:pPr>
      <w:r w:rsidDel="00000000" w:rsidR="00000000" w:rsidRPr="00000000">
        <w:rPr>
          <w:sz w:val="20"/>
          <w:szCs w:val="20"/>
        </w:rPr>
        <w:drawing>
          <wp:inline distB="114300" distT="114300" distL="114300" distR="114300">
            <wp:extent cx="1876425" cy="243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6425" cy="24384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