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880" w:firstLine="0"/>
        <w:rPr>
          <w:b w:val="1"/>
          <w:bCs w:val="1"/>
        </w:rPr>
      </w:pPr>
      <w:r w:rsidDel="00000000" w:rsidR="00000000" w:rsidRPr="00000000">
        <w:rPr>
          <w:rFonts w:ascii="Arial Unicode MS" w:cs="Arial Unicode MS" w:eastAsia="Arial Unicode MS" w:hAnsi="Arial Unicode MS"/>
          <w:b w:val="1"/>
          <w:bCs w:val="1"/>
          <w:rtl w:val="0"/>
        </w:rPr>
        <w:t xml:space="preserve">Ito Hirobumi 伊藤博文</w:t>
      </w:r>
    </w:p>
    <w:p w:rsidR="00000000" w:rsidDel="00000000" w:rsidP="00000000" w:rsidRDefault="00000000" w:rsidRPr="00000000" w14:paraId="00000002">
      <w:pPr>
        <w:spacing w:after="240" w:before="240" w:lineRule="auto"/>
        <w:rPr>
          <w:color w:val="1155cc"/>
          <w:u w:val="single"/>
        </w:rPr>
      </w:pPr>
      <w:r w:rsidDel="00000000" w:rsidR="00000000" w:rsidRPr="00000000">
        <w:rPr>
          <w:b w:val="1"/>
          <w:bCs w:val="1"/>
          <w:rtl w:val="0"/>
        </w:rPr>
        <w:t xml:space="preserve">Itō Hirobumi</w:t>
      </w:r>
      <w:r w:rsidDel="00000000" w:rsidR="00000000" w:rsidRPr="00000000">
        <w:rPr>
          <w:rtl w:val="0"/>
        </w:rPr>
        <w:t xml:space="preserve"> est né le </w:t>
      </w:r>
      <w:r w:rsidDel="00000000" w:rsidR="00000000" w:rsidRPr="00000000">
        <w:rPr>
          <w:b w:val="1"/>
          <w:bCs w:val="1"/>
          <w:rtl w:val="0"/>
        </w:rPr>
        <w:t xml:space="preserve">16 octobre 1841</w:t>
      </w:r>
      <w:r w:rsidDel="00000000" w:rsidR="00000000" w:rsidRPr="00000000">
        <w:rPr>
          <w:rtl w:val="0"/>
        </w:rPr>
        <w:t xml:space="preserve"> dans la province de </w:t>
      </w:r>
      <w:r w:rsidDel="00000000" w:rsidR="00000000" w:rsidRPr="00000000">
        <w:rPr>
          <w:b w:val="1"/>
          <w:bCs w:val="1"/>
          <w:rtl w:val="0"/>
        </w:rPr>
        <w:t xml:space="preserve">Suō</w:t>
      </w:r>
      <w:r w:rsidDel="00000000" w:rsidR="00000000" w:rsidRPr="00000000">
        <w:rPr>
          <w:rtl w:val="0"/>
        </w:rPr>
        <w:t xml:space="preserve"> (actuelle préfecture de Yamaguchi, Japon). Il est issu d’une famille qui a adopté le nom </w:t>
      </w:r>
      <w:r w:rsidDel="00000000" w:rsidR="00000000" w:rsidRPr="00000000">
        <w:rPr>
          <w:b w:val="1"/>
          <w:bCs w:val="1"/>
          <w:rtl w:val="0"/>
        </w:rPr>
        <w:t xml:space="preserve">Itō</w:t>
      </w:r>
      <w:r w:rsidDel="00000000" w:rsidR="00000000" w:rsidRPr="00000000">
        <w:rPr>
          <w:rtl w:val="0"/>
        </w:rPr>
        <w:t xml:space="preserve"> après que son père ait été adopté par un samouraï de rang inférieur du clan de Chōshū. Il a d’abord porté le nom de naissance </w:t>
      </w:r>
      <w:r w:rsidDel="00000000" w:rsidR="00000000" w:rsidRPr="00000000">
        <w:rPr>
          <w:b w:val="1"/>
          <w:bCs w:val="1"/>
          <w:rtl w:val="0"/>
        </w:rPr>
        <w:t xml:space="preserve">Hayashi Risuke</w:t>
      </w:r>
      <w:r w:rsidDel="00000000" w:rsidR="00000000" w:rsidRPr="00000000">
        <w:rPr>
          <w:rtl w:val="0"/>
        </w:rPr>
        <w:t xml:space="preserve"> avant de devenir connu sous le nom d’Itō Hirobumi. </w:t>
      </w:r>
      <w:r w:rsidDel="00000000" w:rsidR="00000000" w:rsidRPr="00000000">
        <w:rPr>
          <w:rtl w:val="0"/>
        </w:rPr>
      </w:r>
    </w:p>
    <w:p w:rsidR="00000000" w:rsidDel="00000000" w:rsidP="00000000" w:rsidRDefault="00000000" w:rsidRPr="00000000" w14:paraId="00000003">
      <w:pPr>
        <w:spacing w:after="240" w:before="240" w:lineRule="auto"/>
        <w:rPr>
          <w:color w:val="1155cc"/>
          <w:u w:val="single"/>
        </w:rPr>
      </w:pPr>
      <w:r w:rsidDel="00000000" w:rsidR="00000000" w:rsidRPr="00000000">
        <w:rPr>
          <w:rtl w:val="0"/>
        </w:rPr>
        <w:t xml:space="preserve">Durant sa jeunesse, Itō étudie à l’académie privée de </w:t>
      </w:r>
      <w:r w:rsidDel="00000000" w:rsidR="00000000" w:rsidRPr="00000000">
        <w:rPr>
          <w:b w:val="1"/>
          <w:bCs w:val="1"/>
          <w:rtl w:val="0"/>
        </w:rPr>
        <w:t xml:space="preserve">Yoshida Shōin</w:t>
      </w:r>
      <w:r w:rsidDel="00000000" w:rsidR="00000000" w:rsidRPr="00000000">
        <w:rPr>
          <w:rtl w:val="0"/>
        </w:rPr>
        <w:t xml:space="preserve">, où il entre en contact avec des idées politiques favorables à la réforme du Japon face aux puissances étrangères. Il s’implique alors dans le mouvement </w:t>
      </w:r>
      <w:r w:rsidDel="00000000" w:rsidR="00000000" w:rsidRPr="00000000">
        <w:rPr>
          <w:b w:val="1"/>
          <w:bCs w:val="1"/>
          <w:rtl w:val="0"/>
        </w:rPr>
        <w:t xml:space="preserve">sonnō jōi (« vénérer l’empereur, expulser les barbares »)</w:t>
      </w:r>
      <w:r w:rsidDel="00000000" w:rsidR="00000000" w:rsidRPr="00000000">
        <w:rPr>
          <w:rtl w:val="0"/>
        </w:rPr>
        <w:t xml:space="preserve">, qui combat le shogunat pour restaurer le pouvoir impérial.</w:t>
      </w:r>
      <w:r w:rsidDel="00000000" w:rsidR="00000000" w:rsidRPr="00000000">
        <w:rPr>
          <w:rtl w:val="0"/>
        </w:rPr>
      </w:r>
    </w:p>
    <w:p w:rsidR="00000000" w:rsidDel="00000000" w:rsidP="00000000" w:rsidRDefault="00000000" w:rsidRPr="00000000" w14:paraId="00000004">
      <w:pPr>
        <w:spacing w:after="240" w:before="240" w:lineRule="auto"/>
        <w:rPr>
          <w:color w:val="1155cc"/>
          <w:u w:val="single"/>
        </w:rPr>
      </w:pPr>
      <w:r w:rsidDel="00000000" w:rsidR="00000000" w:rsidRPr="00000000">
        <w:rPr>
          <w:rtl w:val="0"/>
        </w:rPr>
        <w:t xml:space="preserve">En </w:t>
      </w:r>
      <w:r w:rsidDel="00000000" w:rsidR="00000000" w:rsidRPr="00000000">
        <w:rPr>
          <w:b w:val="1"/>
          <w:bCs w:val="1"/>
          <w:rtl w:val="0"/>
        </w:rPr>
        <w:t xml:space="preserve">1863</w:t>
      </w:r>
      <w:r w:rsidDel="00000000" w:rsidR="00000000" w:rsidRPr="00000000">
        <w:rPr>
          <w:rtl w:val="0"/>
        </w:rPr>
        <w:t xml:space="preserve">, il fait partie des jeunes samouraïs du domaine de Chōshū envoyés étudier à </w:t>
      </w:r>
      <w:r w:rsidDel="00000000" w:rsidR="00000000" w:rsidRPr="00000000">
        <w:rPr>
          <w:b w:val="1"/>
          <w:bCs w:val="1"/>
          <w:rtl w:val="0"/>
        </w:rPr>
        <w:t xml:space="preserve">l’University College de Londres</w:t>
      </w:r>
      <w:r w:rsidDel="00000000" w:rsidR="00000000" w:rsidRPr="00000000">
        <w:rPr>
          <w:rtl w:val="0"/>
        </w:rPr>
        <w:t xml:space="preserve">. Ce séjour en Europe durera près de deux ans et change profondément sa vision du monde : il devient convaincu que le Japon doit s’ouvrir et se moderniser en s’inspirant des institutions occidentales. </w:t>
      </w:r>
      <w:r w:rsidDel="00000000" w:rsidR="00000000" w:rsidRPr="00000000">
        <w:rPr>
          <w:rtl w:val="0"/>
        </w:rPr>
      </w:r>
    </w:p>
    <w:p w:rsidR="00000000" w:rsidDel="00000000" w:rsidP="00000000" w:rsidRDefault="00000000" w:rsidRPr="00000000" w14:paraId="00000005">
      <w:pPr>
        <w:spacing w:after="240" w:before="240" w:lineRule="auto"/>
        <w:rPr>
          <w:color w:val="1155cc"/>
          <w:u w:val="single"/>
        </w:rPr>
      </w:pPr>
      <w:r w:rsidDel="00000000" w:rsidR="00000000" w:rsidRPr="00000000">
        <w:rPr>
          <w:rtl w:val="0"/>
        </w:rPr>
        <w:t xml:space="preserve">Après la </w:t>
      </w:r>
      <w:r w:rsidDel="00000000" w:rsidR="00000000" w:rsidRPr="00000000">
        <w:rPr>
          <w:b w:val="1"/>
          <w:bCs w:val="1"/>
          <w:rtl w:val="0"/>
        </w:rPr>
        <w:t xml:space="preserve">Restauration de Meiji (1868)</w:t>
      </w:r>
      <w:r w:rsidDel="00000000" w:rsidR="00000000" w:rsidRPr="00000000">
        <w:rPr>
          <w:rtl w:val="0"/>
        </w:rPr>
        <w:t xml:space="preserve">, qui met fin au régime féodal du shogunat, Itō occupe plusieurs postes importants au sein du nouveau gouvernement. Il est nommé gouverneur de la préfecture de </w:t>
      </w:r>
      <w:r w:rsidDel="00000000" w:rsidR="00000000" w:rsidRPr="00000000">
        <w:rPr>
          <w:b w:val="1"/>
          <w:bCs w:val="1"/>
          <w:rtl w:val="0"/>
        </w:rPr>
        <w:t xml:space="preserve">Hyōgo</w:t>
      </w:r>
      <w:r w:rsidDel="00000000" w:rsidR="00000000" w:rsidRPr="00000000">
        <w:rPr>
          <w:rtl w:val="0"/>
        </w:rPr>
        <w:t xml:space="preserve">, puis participe à la célèbre </w:t>
      </w:r>
      <w:r w:rsidDel="00000000" w:rsidR="00000000" w:rsidRPr="00000000">
        <w:rPr>
          <w:b w:val="1"/>
          <w:bCs w:val="1"/>
          <w:rtl w:val="0"/>
        </w:rPr>
        <w:t xml:space="preserve">Mission Iwakura</w:t>
      </w:r>
      <w:r w:rsidDel="00000000" w:rsidR="00000000" w:rsidRPr="00000000">
        <w:rPr>
          <w:rtl w:val="0"/>
        </w:rPr>
        <w:t xml:space="preserve"> (1871-1873), un voyage diplomatique autour du monde visant à étudier les systèmes politiques et économiques occidentaux. </w:t>
      </w:r>
      <w:r w:rsidDel="00000000" w:rsidR="00000000" w:rsidRPr="00000000">
        <w:rPr>
          <w:rtl w:val="0"/>
        </w:rPr>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Dans les années 1880, Itō se consacre à la création d’un cadre institutionnel moderne pour le Japon. Il étudie les constitutions européennes et joue un rôle central dans l’élaboration de la </w:t>
      </w:r>
      <w:r w:rsidDel="00000000" w:rsidR="00000000" w:rsidRPr="00000000">
        <w:rPr>
          <w:b w:val="1"/>
          <w:bCs w:val="1"/>
          <w:rtl w:val="0"/>
        </w:rPr>
        <w:t xml:space="preserve">constitution de l’Empire du Japon</w:t>
      </w:r>
      <w:r w:rsidDel="00000000" w:rsidR="00000000" w:rsidRPr="00000000">
        <w:rPr>
          <w:rtl w:val="0"/>
        </w:rPr>
        <w:t xml:space="preserve">, promulguée en </w:t>
      </w:r>
      <w:r w:rsidDel="00000000" w:rsidR="00000000" w:rsidRPr="00000000">
        <w:rPr>
          <w:b w:val="1"/>
          <w:bCs w:val="1"/>
          <w:rtl w:val="0"/>
        </w:rPr>
        <w:t xml:space="preserve">1889</w:t>
      </w:r>
      <w:r w:rsidDel="00000000" w:rsidR="00000000" w:rsidRPr="00000000">
        <w:rPr>
          <w:rtl w:val="0"/>
        </w:rPr>
        <w:t xml:space="preserve">, qui instaure une monarchie constitutionnelle avec un parlement bicaméral.</w:t>
      </w:r>
      <w:r w:rsidDel="00000000" w:rsidR="00000000" w:rsidRPr="00000000">
        <w:rPr>
          <w:rtl w:val="0"/>
        </w:rPr>
      </w:r>
    </w:p>
    <w:p w:rsidR="00000000" w:rsidDel="00000000" w:rsidP="00000000" w:rsidRDefault="00000000" w:rsidRPr="00000000" w14:paraId="00000007">
      <w:pPr>
        <w:spacing w:after="240" w:before="240" w:lineRule="auto"/>
        <w:rPr>
          <w:color w:val="1155cc"/>
          <w:u w:val="single"/>
        </w:rPr>
      </w:pPr>
      <w:r w:rsidDel="00000000" w:rsidR="00000000" w:rsidRPr="00000000">
        <w:rPr>
          <w:rtl w:val="0"/>
        </w:rPr>
        <w:t xml:space="preserve">Le </w:t>
      </w:r>
      <w:r w:rsidDel="00000000" w:rsidR="00000000" w:rsidRPr="00000000">
        <w:rPr>
          <w:b w:val="1"/>
          <w:bCs w:val="1"/>
          <w:rtl w:val="0"/>
        </w:rPr>
        <w:t xml:space="preserve">22 décembre 1885</w:t>
      </w:r>
      <w:r w:rsidDel="00000000" w:rsidR="00000000" w:rsidRPr="00000000">
        <w:rPr>
          <w:rtl w:val="0"/>
        </w:rPr>
        <w:t xml:space="preserve">, Itō Hirobumi devient officiellement </w:t>
      </w:r>
      <w:r w:rsidDel="00000000" w:rsidR="00000000" w:rsidRPr="00000000">
        <w:rPr>
          <w:b w:val="1"/>
          <w:bCs w:val="1"/>
          <w:rtl w:val="0"/>
        </w:rPr>
        <w:t xml:space="preserve">le premier Premier ministre du Japon</w:t>
      </w:r>
      <w:r w:rsidDel="00000000" w:rsidR="00000000" w:rsidRPr="00000000">
        <w:rPr>
          <w:rtl w:val="0"/>
        </w:rPr>
        <w:t xml:space="preserve"> selon le nouveau système de gouvernement basé sur un cabinet ministériel. Au cours de sa carrière politique, il occupe cette fonction à plusieurs reprises : </w:t>
      </w:r>
      <w:r w:rsidDel="00000000" w:rsidR="00000000" w:rsidRPr="00000000">
        <w:rPr>
          <w:b w:val="1"/>
          <w:bCs w:val="1"/>
          <w:rtl w:val="0"/>
        </w:rPr>
        <w:t xml:space="preserve">1885-1888</w:t>
      </w:r>
      <w:r w:rsidDel="00000000" w:rsidR="00000000" w:rsidRPr="00000000">
        <w:rPr>
          <w:rtl w:val="0"/>
        </w:rPr>
        <w:t xml:space="preserve">, </w:t>
      </w:r>
      <w:r w:rsidDel="00000000" w:rsidR="00000000" w:rsidRPr="00000000">
        <w:rPr>
          <w:b w:val="1"/>
          <w:bCs w:val="1"/>
          <w:rtl w:val="0"/>
        </w:rPr>
        <w:t xml:space="preserve">1892-1896</w:t>
      </w:r>
      <w:r w:rsidDel="00000000" w:rsidR="00000000" w:rsidRPr="00000000">
        <w:rPr>
          <w:rtl w:val="0"/>
        </w:rPr>
        <w:t xml:space="preserve">, </w:t>
      </w:r>
      <w:r w:rsidDel="00000000" w:rsidR="00000000" w:rsidRPr="00000000">
        <w:rPr>
          <w:b w:val="1"/>
          <w:bCs w:val="1"/>
          <w:rtl w:val="0"/>
        </w:rPr>
        <w:t xml:space="preserve">1898</w:t>
      </w:r>
      <w:r w:rsidDel="00000000" w:rsidR="00000000" w:rsidRPr="00000000">
        <w:rPr>
          <w:rtl w:val="0"/>
        </w:rPr>
        <w:t xml:space="preserve">, et </w:t>
      </w:r>
      <w:r w:rsidDel="00000000" w:rsidR="00000000" w:rsidRPr="00000000">
        <w:rPr>
          <w:b w:val="1"/>
          <w:bCs w:val="1"/>
          <w:rtl w:val="0"/>
        </w:rPr>
        <w:t xml:space="preserve">1900-1901</w:t>
      </w:r>
      <w:r w:rsidDel="00000000" w:rsidR="00000000" w:rsidRPr="00000000">
        <w:rPr>
          <w:rtl w:val="0"/>
        </w:rPr>
        <w:t xml:space="preserve">. Ces mandats font de lui l’un des hommes politiques les plus influents de l’ère Meiji.</w:t>
      </w:r>
      <w:r w:rsidDel="00000000" w:rsidR="00000000" w:rsidRPr="00000000">
        <w:rPr>
          <w:rtl w:val="0"/>
        </w:rPr>
      </w:r>
    </w:p>
    <w:p w:rsidR="00000000" w:rsidDel="00000000" w:rsidP="00000000" w:rsidRDefault="00000000" w:rsidRPr="00000000" w14:paraId="00000008">
      <w:pPr>
        <w:spacing w:after="240" w:before="240" w:lineRule="auto"/>
        <w:rPr>
          <w:color w:val="1155cc"/>
          <w:u w:val="single"/>
        </w:rPr>
      </w:pPr>
      <w:r w:rsidDel="00000000" w:rsidR="00000000" w:rsidRPr="00000000">
        <w:rPr>
          <w:rtl w:val="0"/>
        </w:rPr>
        <w:t xml:space="preserve">Au cours de ses différents mandats, Itō s’efforce d’affirmer la position internationale du Japon. Il négocie notamment des traités importants avec d’autres puissances et participe à la négociation du </w:t>
      </w:r>
      <w:r w:rsidDel="00000000" w:rsidR="00000000" w:rsidRPr="00000000">
        <w:rPr>
          <w:b w:val="1"/>
          <w:bCs w:val="1"/>
          <w:rtl w:val="0"/>
        </w:rPr>
        <w:t xml:space="preserve">traité de Shimonoseki</w:t>
      </w:r>
      <w:r w:rsidDel="00000000" w:rsidR="00000000" w:rsidRPr="00000000">
        <w:rPr>
          <w:rtl w:val="0"/>
        </w:rPr>
        <w:t xml:space="preserve"> après la guerre sino-japonaise de 1894-1895. Il fonde également un grand parti politique conservateur, le </w:t>
      </w:r>
      <w:r w:rsidDel="00000000" w:rsidR="00000000" w:rsidRPr="00000000">
        <w:rPr>
          <w:b w:val="1"/>
          <w:bCs w:val="1"/>
          <w:rtl w:val="0"/>
        </w:rPr>
        <w:t xml:space="preserve">Rikken Seiyūkai (Association pour un gouvernement constitutionnel)</w:t>
      </w:r>
      <w:r w:rsidDel="00000000" w:rsidR="00000000" w:rsidRPr="00000000">
        <w:rPr>
          <w:rtl w:val="0"/>
        </w:rPr>
        <w:t xml:space="preserve"> en </w:t>
      </w:r>
      <w:r w:rsidDel="00000000" w:rsidR="00000000" w:rsidRPr="00000000">
        <w:rPr>
          <w:b w:val="1"/>
          <w:bCs w:val="1"/>
          <w:rtl w:val="0"/>
        </w:rPr>
        <w:t xml:space="preserve">1900</w:t>
      </w:r>
      <w:r w:rsidDel="00000000" w:rsidR="00000000" w:rsidRPr="00000000">
        <w:rPr>
          <w:rtl w:val="0"/>
        </w:rPr>
        <w:t xml:space="preserve">, pour stabiliser le soutien politique au gouvernement.</w:t>
      </w:r>
      <w:r w:rsidDel="00000000" w:rsidR="00000000" w:rsidRPr="00000000">
        <w:rPr>
          <w:rtl w:val="0"/>
        </w:rPr>
      </w:r>
    </w:p>
    <w:p w:rsidR="00000000" w:rsidDel="00000000" w:rsidP="00000000" w:rsidRDefault="00000000" w:rsidRPr="00000000" w14:paraId="00000009">
      <w:pPr>
        <w:spacing w:after="240" w:before="240" w:lineRule="auto"/>
        <w:rPr>
          <w:color w:val="1155cc"/>
          <w:u w:val="single"/>
        </w:rPr>
      </w:pPr>
      <w:r w:rsidDel="00000000" w:rsidR="00000000" w:rsidRPr="00000000">
        <w:rPr>
          <w:rtl w:val="0"/>
        </w:rPr>
        <w:t xml:space="preserve">Dans les années qui suivent la </w:t>
      </w:r>
      <w:r w:rsidDel="00000000" w:rsidR="00000000" w:rsidRPr="00000000">
        <w:rPr>
          <w:b w:val="1"/>
          <w:bCs w:val="1"/>
          <w:rtl w:val="0"/>
        </w:rPr>
        <w:t xml:space="preserve">guerre russo-japonaise (1904-1905)</w:t>
      </w:r>
      <w:r w:rsidDel="00000000" w:rsidR="00000000" w:rsidRPr="00000000">
        <w:rPr>
          <w:rtl w:val="0"/>
        </w:rPr>
        <w:t xml:space="preserve">, la politique japonaise s’oriente vers le contrôle de la péninsule coréenne. En </w:t>
      </w:r>
      <w:r w:rsidDel="00000000" w:rsidR="00000000" w:rsidRPr="00000000">
        <w:rPr>
          <w:b w:val="1"/>
          <w:bCs w:val="1"/>
          <w:rtl w:val="0"/>
        </w:rPr>
        <w:t xml:space="preserve">1905</w:t>
      </w:r>
      <w:r w:rsidDel="00000000" w:rsidR="00000000" w:rsidRPr="00000000">
        <w:rPr>
          <w:rtl w:val="0"/>
        </w:rPr>
        <w:t xml:space="preserve">, Itō est nommé le </w:t>
      </w:r>
      <w:r w:rsidDel="00000000" w:rsidR="00000000" w:rsidRPr="00000000">
        <w:rPr>
          <w:b w:val="1"/>
          <w:bCs w:val="1"/>
          <w:rtl w:val="0"/>
        </w:rPr>
        <w:t xml:space="preserve">premier résident général de Corée</w:t>
      </w:r>
      <w:r w:rsidDel="00000000" w:rsidR="00000000" w:rsidRPr="00000000">
        <w:rPr>
          <w:rtl w:val="0"/>
        </w:rPr>
        <w:t xml:space="preserve">, rôle qui fait du Japon le protecteur puis le dominateur effectif de la péninsule. Bien qu’Itō lui-même ait eu des positions complexes sur l’annexion, il est au centre des tensions croissantes dans la région. </w:t>
      </w:r>
      <w:r w:rsidDel="00000000" w:rsidR="00000000" w:rsidRPr="00000000">
        <w:rPr>
          <w:rtl w:val="0"/>
        </w:rPr>
      </w:r>
    </w:p>
    <w:p w:rsidR="00000000" w:rsidDel="00000000" w:rsidP="00000000" w:rsidRDefault="00000000" w:rsidRPr="00000000" w14:paraId="0000000A">
      <w:pPr>
        <w:spacing w:after="240" w:before="240" w:lineRule="auto"/>
        <w:rPr>
          <w:color w:val="1155cc"/>
          <w:u w:val="single"/>
        </w:rPr>
      </w:pPr>
      <w:r w:rsidDel="00000000" w:rsidR="00000000" w:rsidRPr="00000000">
        <w:rPr>
          <w:rtl w:val="0"/>
        </w:rPr>
        <w:t xml:space="preserve">Le </w:t>
      </w:r>
      <w:r w:rsidDel="00000000" w:rsidR="00000000" w:rsidRPr="00000000">
        <w:rPr>
          <w:b w:val="1"/>
          <w:bCs w:val="1"/>
          <w:rtl w:val="0"/>
        </w:rPr>
        <w:t xml:space="preserve">26 octobre 1909</w:t>
      </w:r>
      <w:r w:rsidDel="00000000" w:rsidR="00000000" w:rsidRPr="00000000">
        <w:rPr>
          <w:rtl w:val="0"/>
        </w:rPr>
        <w:t xml:space="preserve">, Itō Hirobumi est assassiné à la gare de </w:t>
      </w:r>
      <w:r w:rsidDel="00000000" w:rsidR="00000000" w:rsidRPr="00000000">
        <w:rPr>
          <w:b w:val="1"/>
          <w:bCs w:val="1"/>
          <w:rtl w:val="0"/>
        </w:rPr>
        <w:t xml:space="preserve">Harbin (Mandchourie actuelle)</w:t>
      </w:r>
      <w:r w:rsidDel="00000000" w:rsidR="00000000" w:rsidRPr="00000000">
        <w:rPr>
          <w:rtl w:val="0"/>
        </w:rPr>
        <w:t xml:space="preserve"> par </w:t>
      </w:r>
      <w:r w:rsidDel="00000000" w:rsidR="00000000" w:rsidRPr="00000000">
        <w:rPr>
          <w:b w:val="1"/>
          <w:bCs w:val="1"/>
          <w:rtl w:val="0"/>
        </w:rPr>
        <w:t xml:space="preserve">An Jung-geun</w:t>
      </w:r>
      <w:r w:rsidDel="00000000" w:rsidR="00000000" w:rsidRPr="00000000">
        <w:rPr>
          <w:rtl w:val="0"/>
        </w:rPr>
        <w:t xml:space="preserve">, un nationaliste coréen qui s’oppose à la domination japonaise. Ce meurtre provoque une onde de choc au Japon et à l’étranger. </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Itō Hirobumi laisse un héritage durable dans l’histoire du Japon moderne. Il est considéré comme l’un des principaux architectes des institutions politiques du pays au tournant du XXᵉ siècle, en particulier de la constitution et du système gouvernemental qui ont guidé le Japon pendant plusieurs décennies.</w:t>
      </w:r>
    </w:p>
    <w:p w:rsidR="00000000" w:rsidDel="00000000" w:rsidP="00000000" w:rsidRDefault="00000000" w:rsidRPr="00000000" w14:paraId="0000000C">
      <w:pPr>
        <w:rPr/>
      </w:pPr>
      <w:r w:rsidDel="00000000" w:rsidR="00000000" w:rsidRPr="00000000">
        <w:rPr>
          <w:rtl w:val="0"/>
        </w:rPr>
        <w:tab/>
        <w:tab/>
        <w:tab/>
        <w:tab/>
        <w:tab/>
        <w:tab/>
        <w:tab/>
        <w:tab/>
        <w:t xml:space="preserve">Amane TANIGAWA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