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30"/>
          <w:szCs w:val="30"/>
          <w:rtl w:val="0"/>
        </w:rPr>
        <w:t xml:space="preserve">Épictète</w:t>
      </w:r>
      <w:r w:rsidDel="00000000" w:rsidR="00000000" w:rsidRPr="00000000">
        <w:rPr>
          <w:rtl w:val="0"/>
        </w:rPr>
        <w:t xml:space="preserve"> </w:t>
        <w:br w:type="textWrapping"/>
      </w:r>
      <w:r w:rsidDel="00000000" w:rsidR="00000000" w:rsidRPr="00000000">
        <w:rPr>
          <w:rFonts w:ascii="Playfair Display SemiBold" w:cs="Playfair Display SemiBold" w:eastAsia="Playfair Display SemiBold" w:hAnsi="Playfair Display SemiBold"/>
          <w:color w:val="073763"/>
          <w:sz w:val="24"/>
          <w:szCs w:val="24"/>
          <w:rtl w:val="0"/>
        </w:rPr>
        <w:t xml:space="preserve">était un philosophe stoïcien né vers 50 après J.-C. à Hiérapolis, en Phrygie (actuelle Turquie), et mort vers 125 après J.-C. à Nicopolis, en Grèce. Ancien esclave devenu l’un des plus grands penseurs du stoïcisme, il incarne une philosophie tournée vers la liberté intérieure, la maîtrise de soi et la sagesse.</w:t>
      </w:r>
      <w:r w:rsidDel="00000000" w:rsidR="00000000" w:rsidRPr="00000000">
        <w:drawing>
          <wp:anchor allowOverlap="1" behindDoc="0" distB="114300" distT="114300" distL="114300" distR="114300" hidden="0" layoutInCell="1" locked="0" relativeHeight="0" simplePos="0">
            <wp:simplePos x="0" y="0"/>
            <wp:positionH relativeFrom="column">
              <wp:posOffset>3990734</wp:posOffset>
            </wp:positionH>
            <wp:positionV relativeFrom="paragraph">
              <wp:posOffset>114300</wp:posOffset>
            </wp:positionV>
            <wp:extent cx="1847850" cy="24669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7850" cy="2466975"/>
                    </a:xfrm>
                    <a:prstGeom prst="rect"/>
                    <a:ln/>
                  </pic:spPr>
                </pic:pic>
              </a:graphicData>
            </a:graphic>
          </wp:anchor>
        </w:drawing>
      </w:r>
    </w:p>
    <w:p w:rsidR="00000000" w:rsidDel="00000000" w:rsidP="00000000" w:rsidRDefault="00000000" w:rsidRPr="00000000" w14:paraId="00000002">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D’abord esclave à Rome, au service d’Épaphrodite, un affranchi de l’empereur Néron, Épictète reçut une formation philosophique auprès du stoïcien Musonius Rufus. Affranchi par la suite, il se consacra entièrement à l’enseignement de la philosophie. Pour lui, la philosophie n’est pas une théorie abstraite, mais un exercice quotidien visant à transformer la manière de vivre et de penser.</w:t>
      </w:r>
    </w:p>
    <w:p w:rsidR="00000000" w:rsidDel="00000000" w:rsidP="00000000" w:rsidRDefault="00000000" w:rsidRPr="00000000" w14:paraId="00000003">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La pensée d’Épictète repose sur une distinction fondamentale : ce qui dépend de nous et ce qui ne dépend pas de nous. Ne dépendent de nous que nos jugements, nos désirs et nos volontés, tandis que la richesse, la santé, la réputation ou la mort échappent à notre contrôle. Le bonheur consiste donc à accepter ce qui ne dépend pas de nous et à exercer pleinement notre raison sur ce qui relève de notre liberté intérieure.</w:t>
      </w:r>
    </w:p>
    <w:p w:rsidR="00000000" w:rsidDel="00000000" w:rsidP="00000000" w:rsidRDefault="00000000" w:rsidRPr="00000000" w14:paraId="00000004">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Son éthique est fondée sur l’idée que le bien véritable réside dans la vertu. Les épreuves, la souffrance et les difficultés de la vie ne sont pas des maux en soi, mais des occasions de progresser moralement. Ainsi, le sage ne cherche pas à éviter les événements, mais à les affronter avec courage, lucidité et dignité.</w:t>
      </w:r>
    </w:p>
    <w:p w:rsidR="00000000" w:rsidDel="00000000" w:rsidP="00000000" w:rsidRDefault="00000000" w:rsidRPr="00000000" w14:paraId="00000005">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Épictète n’a lui-même rien écrit. Son enseignement a été transmis par son disciple Arrien, notamment dans les Entretiens et le Manuel, œuvres essentielles du stoïcisme. Ces textes proposent des conseils pratiques pour mener une vie conforme à la raison et à la nature.</w:t>
      </w:r>
    </w:p>
    <w:p w:rsidR="00000000" w:rsidDel="00000000" w:rsidP="00000000" w:rsidRDefault="00000000" w:rsidRPr="00000000" w14:paraId="00000006">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L’héritage d’Épictète est immense : sa philosophie de la responsabilité personnelle, de la liberté intérieure et de l’acceptation du réel a influencé de nombreux penseurs, dont l’empereur Marc Aurèle. Sa pensée, d’une grande simplicité et d’une profonde exigence morale, continue aujourd’hui d’inspirer ceux qui cherchent à vivre de manière juste, libre et sereine.</w:t>
      </w:r>
    </w:p>
    <w:p w:rsidR="00000000" w:rsidDel="00000000" w:rsidP="00000000" w:rsidRDefault="00000000" w:rsidRPr="00000000" w14:paraId="00000007">
      <w:pPr>
        <w:rPr>
          <w:rFonts w:ascii="Playfair Display SemiBold" w:cs="Playfair Display SemiBold" w:eastAsia="Playfair Display SemiBold" w:hAnsi="Playfair Display SemiBold"/>
          <w:color w:val="073763"/>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SemiBold-regular.ttf"/><Relationship Id="rId2" Type="http://schemas.openxmlformats.org/officeDocument/2006/relationships/font" Target="fonts/PlayfairDisplaySemiBold-bold.ttf"/><Relationship Id="rId3" Type="http://schemas.openxmlformats.org/officeDocument/2006/relationships/font" Target="fonts/PlayfairDisplaySemiBold-italic.ttf"/><Relationship Id="rId4" Type="http://schemas.openxmlformats.org/officeDocument/2006/relationships/font" Target="fonts/PlayfairDisplay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