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Henri Grégoire, dit l'Abbé Grégoire (1750-1831) : Un prêtre citoyen qui voulait l'égalité universelle….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160</wp:posOffset>
            </wp:positionV>
            <wp:extent cx="2170430" cy="2127885"/>
            <wp:effectExtent b="0" l="0" r="0" t="0"/>
            <wp:wrapSquare wrapText="bothSides" distB="0" distT="0" distL="114300" distR="114300"/>
            <wp:docPr id="23757778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70430" cy="2127885"/>
                    </a:xfrm>
                    <a:prstGeom prst="rect"/>
                    <a:ln/>
                  </pic:spPr>
                </pic:pic>
              </a:graphicData>
            </a:graphic>
          </wp:anchor>
        </w:drawing>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Aperçu biographique : De la cure à la Convention</w:t>
      </w: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Henri Grégoire est un curé de campagne lorrain lorsqu'il est élu député du clergé aux États généraux de 1789. Contrairement à une partie de sa hiérarchie, il rallie immédiatement le Tiers-État. </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devient l'un des chefs de file de la Révolution, participant à la rédaction de la Déclaration des Droits de l'Homme et du Citoyen. Fidèle à ses convictions jusqu'au bout, il refusera toujours de renier sa foi sous la Terreur et restera un républicain convaincu sous l'Empire et la Restauration, ce qui lui vaudra d'être persécuté par les régimes suivants. </w:t>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 Son œuvre et ses combats majeurs</w:t>
      </w:r>
    </w:p>
    <w:p w:rsidR="00000000" w:rsidDel="00000000" w:rsidP="00000000" w:rsidRDefault="00000000" w:rsidRPr="00000000" w14:paraId="00000006">
      <w:pPr>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L'Abbé Grégoire a </w:t>
      </w:r>
      <w:r w:rsidDel="00000000" w:rsidR="00000000" w:rsidRPr="00000000">
        <w:rPr>
          <w:rFonts w:ascii="Times New Roman" w:cs="Times New Roman" w:eastAsia="Times New Roman" w:hAnsi="Times New Roman"/>
          <w:b w:val="1"/>
          <w:bCs w:val="1"/>
          <w:sz w:val="22"/>
          <w:szCs w:val="22"/>
          <w:rtl w:val="0"/>
        </w:rPr>
        <w:t xml:space="preserve">utilisé la plume et la tribune</w:t>
      </w:r>
      <w:r w:rsidDel="00000000" w:rsidR="00000000" w:rsidRPr="00000000">
        <w:rPr>
          <w:rFonts w:ascii="Times New Roman" w:cs="Times New Roman" w:eastAsia="Times New Roman" w:hAnsi="Times New Roman"/>
          <w:sz w:val="22"/>
          <w:szCs w:val="22"/>
          <w:rtl w:val="0"/>
        </w:rPr>
        <w:t xml:space="preserve"> pour abattre les barrières qui divisent l'humanité. Voici quelques exemples qui montrent que l’abbé Grégoire </w:t>
      </w:r>
      <w:r w:rsidDel="00000000" w:rsidR="00000000" w:rsidRPr="00000000">
        <w:rPr>
          <w:rFonts w:ascii="Times New Roman" w:cs="Times New Roman" w:eastAsia="Times New Roman" w:hAnsi="Times New Roman"/>
          <w:b w:val="1"/>
          <w:bCs w:val="1"/>
          <w:sz w:val="22"/>
          <w:szCs w:val="22"/>
          <w:rtl w:val="0"/>
        </w:rPr>
        <w:t xml:space="preserve">s’est battu pour des valeurs démocratiques.</w:t>
      </w:r>
    </w:p>
    <w:p w:rsidR="00000000" w:rsidDel="00000000" w:rsidP="00000000" w:rsidRDefault="00000000" w:rsidRPr="00000000" w14:paraId="00000007">
      <w:pPr>
        <w:numPr>
          <w:ilvl w:val="0"/>
          <w:numId w:val="1"/>
        </w:numPr>
        <w:spacing w:after="0" w:before="28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En 1789, il est élu </w:t>
      </w:r>
      <w:r w:rsidDel="00000000" w:rsidR="00000000" w:rsidRPr="00000000">
        <w:rPr>
          <w:rFonts w:ascii="Times New Roman" w:cs="Times New Roman" w:eastAsia="Times New Roman" w:hAnsi="Times New Roman"/>
          <w:b w:val="1"/>
          <w:bCs w:val="1"/>
          <w:sz w:val="22"/>
          <w:szCs w:val="22"/>
          <w:rtl w:val="0"/>
        </w:rPr>
        <w:t xml:space="preserve">député du clergé aux États généraux</w:t>
      </w:r>
      <w:r w:rsidDel="00000000" w:rsidR="00000000" w:rsidRPr="00000000">
        <w:rPr>
          <w:rFonts w:ascii="Times New Roman" w:cs="Times New Roman" w:eastAsia="Times New Roman" w:hAnsi="Times New Roman"/>
          <w:sz w:val="22"/>
          <w:szCs w:val="22"/>
          <w:rtl w:val="0"/>
        </w:rPr>
        <w:t xml:space="preserve">, mais il plaide rapidement pour l'abandon des privilèges de son ordre. </w:t>
      </w:r>
      <w:r w:rsidDel="00000000" w:rsidR="00000000" w:rsidRPr="00000000">
        <w:rPr>
          <w:rFonts w:ascii="Times New Roman" w:cs="Times New Roman" w:eastAsia="Times New Roman" w:hAnsi="Times New Roman"/>
          <w:b w:val="1"/>
          <w:bCs w:val="1"/>
          <w:sz w:val="22"/>
          <w:szCs w:val="22"/>
          <w:rtl w:val="0"/>
        </w:rPr>
        <w:t xml:space="preserve">Il rejoint le Tiers État</w:t>
      </w:r>
      <w:r w:rsidDel="00000000" w:rsidR="00000000" w:rsidRPr="00000000">
        <w:rPr>
          <w:rFonts w:ascii="Times New Roman" w:cs="Times New Roman" w:eastAsia="Times New Roman" w:hAnsi="Times New Roman"/>
          <w:sz w:val="22"/>
          <w:szCs w:val="22"/>
          <w:rtl w:val="0"/>
        </w:rPr>
        <w:t xml:space="preserve"> lorsque celui-ci se proclame Assemblée nationale. Il est enfin </w:t>
      </w:r>
      <w:r w:rsidDel="00000000" w:rsidR="00000000" w:rsidRPr="00000000">
        <w:rPr>
          <w:rFonts w:ascii="Times New Roman" w:cs="Times New Roman" w:eastAsia="Times New Roman" w:hAnsi="Times New Roman"/>
          <w:b w:val="1"/>
          <w:bCs w:val="1"/>
          <w:sz w:val="22"/>
          <w:szCs w:val="22"/>
          <w:rtl w:val="0"/>
        </w:rPr>
        <w:t xml:space="preserve">l’initiateur du premier article</w:t>
      </w:r>
      <w:r w:rsidDel="00000000" w:rsidR="00000000" w:rsidRPr="00000000">
        <w:rPr>
          <w:rFonts w:ascii="Times New Roman" w:cs="Times New Roman" w:eastAsia="Times New Roman" w:hAnsi="Times New Roman"/>
          <w:sz w:val="22"/>
          <w:szCs w:val="22"/>
          <w:rtl w:val="0"/>
        </w:rPr>
        <w:t xml:space="preserve"> de la Déclaration des droits de l’homme et du citoyen : "Les hommes naissent et demeurent libres et égaux en droits". »</w:t>
      </w:r>
    </w:p>
    <w:p w:rsidR="00000000" w:rsidDel="00000000" w:rsidP="00000000" w:rsidRDefault="00000000" w:rsidRPr="00000000" w14:paraId="00000008">
      <w:pPr>
        <w:numPr>
          <w:ilvl w:val="0"/>
          <w:numId w:val="1"/>
        </w:numPr>
        <w:spacing w:after="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Opposant ardent à l’esclavage</w:t>
      </w:r>
      <w:r w:rsidDel="00000000" w:rsidR="00000000" w:rsidRPr="00000000">
        <w:rPr>
          <w:rFonts w:ascii="Times New Roman" w:cs="Times New Roman" w:eastAsia="Times New Roman" w:hAnsi="Times New Roman"/>
          <w:sz w:val="22"/>
          <w:szCs w:val="22"/>
          <w:rtl w:val="0"/>
        </w:rPr>
        <w:t xml:space="preserve"> tout au long de sa vie, l’Abbé Grégoire se mobilise dès le 9 décembre 1789 en adressant à l’Assemblée son mémoire en faveur des "gens de couleur et de sang-mêlé". Membre influent de la Société des Amis des Noirs, il devient le </w:t>
      </w:r>
      <w:r w:rsidDel="00000000" w:rsidR="00000000" w:rsidRPr="00000000">
        <w:rPr>
          <w:rFonts w:ascii="Times New Roman" w:cs="Times New Roman" w:eastAsia="Times New Roman" w:hAnsi="Times New Roman"/>
          <w:b w:val="1"/>
          <w:bCs w:val="1"/>
          <w:sz w:val="22"/>
          <w:szCs w:val="22"/>
          <w:rtl w:val="0"/>
        </w:rPr>
        <w:t xml:space="preserve">principal artisan du premier décret d'abolition de l'esclavage en 1794</w:t>
      </w:r>
      <w:r w:rsidDel="00000000" w:rsidR="00000000" w:rsidRPr="00000000">
        <w:rPr>
          <w:rFonts w:ascii="Times New Roman" w:cs="Times New Roman" w:eastAsia="Times New Roman" w:hAnsi="Times New Roman"/>
          <w:sz w:val="22"/>
          <w:szCs w:val="22"/>
          <w:rtl w:val="0"/>
        </w:rPr>
        <w:t xml:space="preserve">. Son engagement se poursuit sous l'Empire avec la publication, en 1808, de son ouvrage </w:t>
      </w:r>
      <w:r w:rsidDel="00000000" w:rsidR="00000000" w:rsidRPr="00000000">
        <w:rPr>
          <w:rFonts w:ascii="Times New Roman" w:cs="Times New Roman" w:eastAsia="Times New Roman" w:hAnsi="Times New Roman"/>
          <w:i w:val="1"/>
          <w:iCs w:val="1"/>
          <w:sz w:val="22"/>
          <w:szCs w:val="22"/>
          <w:rtl w:val="0"/>
        </w:rPr>
        <w:t xml:space="preserve">De la littérature des Nègres</w:t>
      </w:r>
      <w:r w:rsidDel="00000000" w:rsidR="00000000" w:rsidRPr="00000000">
        <w:rPr>
          <w:rFonts w:ascii="Times New Roman" w:cs="Times New Roman" w:eastAsia="Times New Roman" w:hAnsi="Times New Roman"/>
          <w:sz w:val="22"/>
          <w:szCs w:val="22"/>
          <w:rtl w:val="0"/>
        </w:rPr>
        <w:t xml:space="preserve">, un plaidoyer scientifique et moral visant à démontrer l'égalité des capacités intellectuelles entre tous les hommes. »</w:t>
      </w:r>
    </w:p>
    <w:p w:rsidR="00000000" w:rsidDel="00000000" w:rsidP="00000000" w:rsidRDefault="00000000" w:rsidRPr="00000000" w14:paraId="00000009">
      <w:pPr>
        <w:numPr>
          <w:ilvl w:val="0"/>
          <w:numId w:val="1"/>
        </w:numPr>
        <w:spacing w:after="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Au nom de </w:t>
      </w:r>
      <w:r w:rsidDel="00000000" w:rsidR="00000000" w:rsidRPr="00000000">
        <w:rPr>
          <w:rFonts w:ascii="Times New Roman" w:cs="Times New Roman" w:eastAsia="Times New Roman" w:hAnsi="Times New Roman"/>
          <w:b w:val="1"/>
          <w:bCs w:val="1"/>
          <w:sz w:val="22"/>
          <w:szCs w:val="22"/>
          <w:highlight w:val="white"/>
          <w:rtl w:val="0"/>
        </w:rPr>
        <w:t xml:space="preserve">la tolérance religieuse</w:t>
      </w:r>
      <w:r w:rsidDel="00000000" w:rsidR="00000000" w:rsidRPr="00000000">
        <w:rPr>
          <w:rFonts w:ascii="Times New Roman" w:cs="Times New Roman" w:eastAsia="Times New Roman" w:hAnsi="Times New Roman"/>
          <w:sz w:val="22"/>
          <w:szCs w:val="22"/>
          <w:highlight w:val="white"/>
          <w:rtl w:val="0"/>
        </w:rPr>
        <w:t xml:space="preserve">, il est l’un des artisans du décret du 27 septembre 1791 qui donne la citoyenneté aux Français juifs.</w:t>
      </w:r>
      <w:r w:rsidDel="00000000" w:rsidR="00000000" w:rsidRPr="00000000">
        <w:rPr>
          <w:rFonts w:ascii="brother_1816" w:cs="brother_1816" w:eastAsia="brother_1816" w:hAnsi="brother_1816"/>
          <w:sz w:val="22"/>
          <w:szCs w:val="22"/>
          <w:highlight w:val="white"/>
          <w:rtl w:val="0"/>
        </w:rPr>
        <w:t xml:space="preserve"> </w:t>
      </w:r>
      <w:r w:rsidDel="00000000" w:rsidR="00000000" w:rsidRPr="00000000">
        <w:rPr>
          <w:rFonts w:ascii="Times New Roman" w:cs="Times New Roman" w:eastAsia="Times New Roman" w:hAnsi="Times New Roman"/>
          <w:sz w:val="22"/>
          <w:szCs w:val="22"/>
          <w:rtl w:val="0"/>
        </w:rPr>
        <w:t xml:space="preserve">Dès 1788, il publie son </w:t>
      </w:r>
      <w:r w:rsidDel="00000000" w:rsidR="00000000" w:rsidRPr="00000000">
        <w:rPr>
          <w:rFonts w:ascii="Times New Roman" w:cs="Times New Roman" w:eastAsia="Times New Roman" w:hAnsi="Times New Roman"/>
          <w:i w:val="1"/>
          <w:iCs w:val="1"/>
          <w:sz w:val="22"/>
          <w:szCs w:val="22"/>
          <w:rtl w:val="0"/>
        </w:rPr>
        <w:t xml:space="preserve">Essai sur la régénération physique, morale et politique des Juifs</w:t>
      </w:r>
      <w:r w:rsidDel="00000000" w:rsidR="00000000" w:rsidRPr="00000000">
        <w:rPr>
          <w:rFonts w:ascii="Times New Roman" w:cs="Times New Roman" w:eastAsia="Times New Roman" w:hAnsi="Times New Roman"/>
          <w:sz w:val="22"/>
          <w:szCs w:val="22"/>
          <w:rtl w:val="0"/>
        </w:rPr>
        <w:t xml:space="preserve">. Il soutient que les défauts reprochés aux populations juives sont le résultat de leur persécution et demande leur pleine citoyenneté.</w:t>
      </w:r>
    </w:p>
    <w:p w:rsidR="00000000" w:rsidDel="00000000" w:rsidP="00000000" w:rsidRDefault="00000000" w:rsidRPr="00000000" w14:paraId="0000000A">
      <w:pPr>
        <w:numPr>
          <w:ilvl w:val="0"/>
          <w:numId w:val="1"/>
        </w:numPr>
        <w:spacing w:after="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highlight w:val="white"/>
          <w:rtl w:val="0"/>
        </w:rPr>
        <w:t xml:space="preserve">Ce républicain à la « tête de fer » (d’après Michelet) fut un </w:t>
      </w:r>
      <w:r w:rsidDel="00000000" w:rsidR="00000000" w:rsidRPr="00000000">
        <w:rPr>
          <w:rFonts w:ascii="Times New Roman" w:cs="Times New Roman" w:eastAsia="Times New Roman" w:hAnsi="Times New Roman"/>
          <w:b w:val="1"/>
          <w:bCs w:val="1"/>
          <w:sz w:val="22"/>
          <w:szCs w:val="22"/>
          <w:highlight w:val="white"/>
          <w:rtl w:val="0"/>
        </w:rPr>
        <w:t xml:space="preserve">opposant résolu à Napoléon</w:t>
      </w:r>
      <w:r w:rsidDel="00000000" w:rsidR="00000000" w:rsidRPr="00000000">
        <w:rPr>
          <w:rFonts w:ascii="Times New Roman" w:cs="Times New Roman" w:eastAsia="Times New Roman" w:hAnsi="Times New Roman"/>
          <w:sz w:val="22"/>
          <w:szCs w:val="22"/>
          <w:highlight w:val="white"/>
          <w:rtl w:val="0"/>
        </w:rPr>
        <w:t xml:space="preserve">, dès le Consulat et tout le long de l’Empire. Au Sénat, il ne cesse de s’opposer publiquement aux agissements de celui qu’il appelle « l’incorrigible », votant contre la proclamation de l'Empire et le rétablissement des titres nobiliaires.</w:t>
      </w:r>
      <w:r w:rsidDel="00000000" w:rsidR="00000000" w:rsidRPr="00000000">
        <w:rPr>
          <w:rtl w:val="0"/>
        </w:rPr>
      </w:r>
    </w:p>
    <w:p w:rsidR="00000000" w:rsidDel="00000000" w:rsidP="00000000" w:rsidRDefault="00000000" w:rsidRPr="00000000" w14:paraId="0000000B">
      <w:pPr>
        <w:numPr>
          <w:ilvl w:val="0"/>
          <w:numId w:val="1"/>
        </w:numPr>
        <w:spacing w:after="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est l'auteur du célèbre </w:t>
      </w:r>
      <w:r w:rsidDel="00000000" w:rsidR="00000000" w:rsidRPr="00000000">
        <w:rPr>
          <w:rFonts w:ascii="Times New Roman" w:cs="Times New Roman" w:eastAsia="Times New Roman" w:hAnsi="Times New Roman"/>
          <w:i w:val="1"/>
          <w:iCs w:val="1"/>
          <w:sz w:val="22"/>
          <w:szCs w:val="22"/>
          <w:rtl w:val="0"/>
        </w:rPr>
        <w:t xml:space="preserve">Rapport sur la nécessité et les moyens d'anéantir les patois et d'universaliser l'usage de la langue française</w:t>
      </w:r>
      <w:r w:rsidDel="00000000" w:rsidR="00000000" w:rsidRPr="00000000">
        <w:rPr>
          <w:rFonts w:ascii="Times New Roman" w:cs="Times New Roman" w:eastAsia="Times New Roman" w:hAnsi="Times New Roman"/>
          <w:sz w:val="22"/>
          <w:szCs w:val="22"/>
          <w:rtl w:val="0"/>
        </w:rPr>
        <w:t xml:space="preserve">. Pour lui, </w:t>
      </w:r>
      <w:r w:rsidDel="00000000" w:rsidR="00000000" w:rsidRPr="00000000">
        <w:rPr>
          <w:rFonts w:ascii="Times New Roman" w:cs="Times New Roman" w:eastAsia="Times New Roman" w:hAnsi="Times New Roman"/>
          <w:b w:val="1"/>
          <w:bCs w:val="1"/>
          <w:sz w:val="22"/>
          <w:szCs w:val="22"/>
          <w:rtl w:val="0"/>
        </w:rPr>
        <w:t xml:space="preserve">la démocratie exige que tous les citoyens parlent la même langue pour comprendre les lois et débattre.</w:t>
      </w:r>
      <w:r w:rsidDel="00000000" w:rsidR="00000000" w:rsidRPr="00000000">
        <w:rPr>
          <w:rtl w:val="0"/>
        </w:rPr>
      </w:r>
    </w:p>
    <w:p w:rsidR="00000000" w:rsidDel="00000000" w:rsidP="00000000" w:rsidRDefault="00000000" w:rsidRPr="00000000" w14:paraId="0000000C">
      <w:pPr>
        <w:numPr>
          <w:ilvl w:val="0"/>
          <w:numId w:val="1"/>
        </w:numPr>
        <w:spacing w:after="280" w:before="0" w:line="240" w:lineRule="auto"/>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C'est lui qui invente le terme </w:t>
      </w:r>
      <w:r w:rsidDel="00000000" w:rsidR="00000000" w:rsidRPr="00000000">
        <w:rPr>
          <w:rFonts w:ascii="Times New Roman" w:cs="Times New Roman" w:eastAsia="Times New Roman" w:hAnsi="Times New Roman"/>
          <w:b w:val="1"/>
          <w:bCs w:val="1"/>
          <w:sz w:val="22"/>
          <w:szCs w:val="22"/>
          <w:rtl w:val="0"/>
        </w:rPr>
        <w:t xml:space="preserve">"vandalisme"</w:t>
      </w:r>
      <w:r w:rsidDel="00000000" w:rsidR="00000000" w:rsidRPr="00000000">
        <w:rPr>
          <w:rFonts w:ascii="Times New Roman" w:cs="Times New Roman" w:eastAsia="Times New Roman" w:hAnsi="Times New Roman"/>
          <w:sz w:val="22"/>
          <w:szCs w:val="22"/>
          <w:rtl w:val="0"/>
        </w:rPr>
        <w:t xml:space="preserve">. Il se bat pour que les monuments et les bibliothèques soient protégés, considérant qu'ils appartiennent au peuple et sont essentiels à son instruction.</w:t>
      </w:r>
    </w:p>
    <w:tbl>
      <w:tblPr>
        <w:tblStyle w:val="Table1"/>
        <w:tblW w:w="9062.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0D">
            <w:pPr>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Son importance pour la démocratie</w:t>
            </w:r>
          </w:p>
          <w:p w:rsidR="00000000" w:rsidDel="00000000" w:rsidP="00000000" w:rsidRDefault="00000000" w:rsidRPr="00000000" w14:paraId="0000000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L'engagement de l'Abbé Grégoire est capital pour la démocratie car il définit trois principes fondamentaux :</w:t>
            </w:r>
          </w:p>
          <w:p w:rsidR="00000000" w:rsidDel="00000000" w:rsidP="00000000" w:rsidRDefault="00000000" w:rsidRPr="00000000" w14:paraId="0000000F">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L'universalité des droits :</w:t>
            </w:r>
            <w:r w:rsidDel="00000000" w:rsidR="00000000" w:rsidRPr="00000000">
              <w:rPr>
                <w:rFonts w:ascii="Times New Roman" w:cs="Times New Roman" w:eastAsia="Times New Roman" w:hAnsi="Times New Roman"/>
                <w:sz w:val="20"/>
                <w:szCs w:val="20"/>
                <w:rtl w:val="0"/>
              </w:rPr>
              <w:t xml:space="preserve"> Avant lui, les droits de l'homme étaient souvent limités aux hommes blancs et propriétaires. Grégoire impose l'idée que si les droits sont humains, ils doivent s'appliquer à </w:t>
            </w:r>
            <w:r w:rsidDel="00000000" w:rsidR="00000000" w:rsidRPr="00000000">
              <w:rPr>
                <w:rFonts w:ascii="Times New Roman" w:cs="Times New Roman" w:eastAsia="Times New Roman" w:hAnsi="Times New Roman"/>
                <w:b w:val="1"/>
                <w:bCs w:val="1"/>
                <w:sz w:val="20"/>
                <w:szCs w:val="20"/>
                <w:rtl w:val="0"/>
              </w:rPr>
              <w:t xml:space="preserve">tous</w:t>
            </w:r>
            <w:r w:rsidDel="00000000" w:rsidR="00000000" w:rsidRPr="00000000">
              <w:rPr>
                <w:rFonts w:ascii="Times New Roman" w:cs="Times New Roman" w:eastAsia="Times New Roman" w:hAnsi="Times New Roman"/>
                <w:sz w:val="20"/>
                <w:szCs w:val="20"/>
                <w:rtl w:val="0"/>
              </w:rPr>
              <w:t xml:space="preserve"> : juifs, noirs, pauvres, sans exception. C'est l'acte de naissance de la démocratie inclusive.</w:t>
            </w:r>
          </w:p>
          <w:p w:rsidR="00000000" w:rsidDel="00000000" w:rsidP="00000000" w:rsidRDefault="00000000" w:rsidRPr="00000000" w14:paraId="00000010">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La souveraineté par le savoir :</w:t>
            </w:r>
            <w:r w:rsidDel="00000000" w:rsidR="00000000" w:rsidRPr="00000000">
              <w:rPr>
                <w:rFonts w:ascii="Times New Roman" w:cs="Times New Roman" w:eastAsia="Times New Roman" w:hAnsi="Times New Roman"/>
                <w:sz w:val="20"/>
                <w:szCs w:val="20"/>
                <w:rtl w:val="0"/>
              </w:rPr>
              <w:t xml:space="preserve"> En luttant pour une langue commune et pour la conservation des musées, il affirme que la démocratie n'est pas seulement un mode de vote, mais un partage de la culture. Le citoyen ne peut être souverain que s'il a accès à la connaissance.</w:t>
            </w:r>
          </w:p>
          <w:p w:rsidR="00000000" w:rsidDel="00000000" w:rsidP="00000000" w:rsidRDefault="00000000" w:rsidRPr="00000000" w14:paraId="00000011">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Le lien entre morale et politique :</w:t>
            </w:r>
            <w:r w:rsidDel="00000000" w:rsidR="00000000" w:rsidRPr="00000000">
              <w:rPr>
                <w:rFonts w:ascii="Times New Roman" w:cs="Times New Roman" w:eastAsia="Times New Roman" w:hAnsi="Times New Roman"/>
                <w:sz w:val="20"/>
                <w:szCs w:val="20"/>
                <w:rtl w:val="0"/>
              </w:rPr>
              <w:t xml:space="preserve"> Il a prouvé qu'on pouvait être un homme de foi et un homme de liberté. Sa vie démontre que la démocratie a besoin de boussoles morales capables de s'opposer à la tyrannie, même quand celle-ci se pare des couleurs de la révolution ou de l'ordre.</w:t>
            </w:r>
          </w:p>
        </w:tc>
      </w:tr>
    </w:tbl>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 : </w:t>
      </w:r>
      <w:hyperlink r:id="rId8">
        <w:r w:rsidDel="00000000" w:rsidR="00000000" w:rsidRPr="00000000">
          <w:rPr>
            <w:rFonts w:ascii="Times New Roman" w:cs="Times New Roman" w:eastAsia="Times New Roman" w:hAnsi="Times New Roman"/>
            <w:color w:val="467886"/>
            <w:u w:val="single"/>
            <w:rtl w:val="0"/>
          </w:rPr>
          <w:t xml:space="preserve">https://memoire-esclavage.org/biographies/henri-jean-baptiste-gregoire</w:t>
        </w:r>
      </w:hyperlink>
      <w:r w:rsidDel="00000000" w:rsidR="00000000" w:rsidRPr="00000000">
        <w:rPr>
          <w:rtl w:val="0"/>
        </w:rPr>
      </w:r>
    </w:p>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w:t>
      </w:r>
    </w:p>
    <w:p w:rsidR="00000000" w:rsidDel="00000000" w:rsidP="00000000" w:rsidRDefault="00000000" w:rsidRPr="00000000" w14:paraId="00000014">
      <w:pPr>
        <w:spacing w:after="280" w:before="28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80" w:before="28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brother_1816"/>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2E1EB1"/>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2E1EB1"/>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2E1EB1"/>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2E1EB1"/>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2E1EB1"/>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2E1EB1"/>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2E1EB1"/>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2E1EB1"/>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2E1EB1"/>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2E1EB1"/>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2E1EB1"/>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2E1EB1"/>
    <w:rPr>
      <w:rFonts w:cstheme="majorBidi" w:eastAsiaTheme="majorEastAsia"/>
      <w:color w:val="272727" w:themeColor="text1" w:themeTint="0000D8"/>
    </w:rPr>
  </w:style>
  <w:style w:type="character" w:styleId="TitreCar" w:customStyle="1">
    <w:name w:val="Titre Car"/>
    <w:basedOn w:val="Policepardfaut"/>
    <w:link w:val="Titre"/>
    <w:uiPriority w:val="10"/>
    <w:rsid w:val="002E1EB1"/>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2E1EB1"/>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2E1EB1"/>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2E1EB1"/>
    <w:rPr>
      <w:i w:val="1"/>
      <w:iCs w:val="1"/>
      <w:color w:val="404040" w:themeColor="text1" w:themeTint="0000BF"/>
    </w:rPr>
  </w:style>
  <w:style w:type="paragraph" w:styleId="Paragraphedeliste">
    <w:name w:val="List Paragraph"/>
    <w:basedOn w:val="Normal"/>
    <w:uiPriority w:val="34"/>
    <w:qFormat w:val="1"/>
    <w:rsid w:val="002E1EB1"/>
    <w:pPr>
      <w:ind w:left="720"/>
      <w:contextualSpacing w:val="1"/>
    </w:pPr>
  </w:style>
  <w:style w:type="character" w:styleId="Accentuationintense">
    <w:name w:val="Intense Emphasis"/>
    <w:basedOn w:val="Policepardfaut"/>
    <w:uiPriority w:val="21"/>
    <w:qFormat w:val="1"/>
    <w:rsid w:val="002E1EB1"/>
    <w:rPr>
      <w:i w:val="1"/>
      <w:iCs w:val="1"/>
      <w:color w:val="0f4761" w:themeColor="accent1" w:themeShade="0000BF"/>
    </w:rPr>
  </w:style>
  <w:style w:type="paragraph" w:styleId="Citationintense">
    <w:name w:val="Intense Quote"/>
    <w:basedOn w:val="Normal"/>
    <w:next w:val="Normal"/>
    <w:link w:val="CitationintenseCar"/>
    <w:uiPriority w:val="30"/>
    <w:qFormat w:val="1"/>
    <w:rsid w:val="002E1EB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2E1EB1"/>
    <w:rPr>
      <w:i w:val="1"/>
      <w:iCs w:val="1"/>
      <w:color w:val="0f4761" w:themeColor="accent1" w:themeShade="0000BF"/>
    </w:rPr>
  </w:style>
  <w:style w:type="character" w:styleId="Rfrenceintense">
    <w:name w:val="Intense Reference"/>
    <w:basedOn w:val="Policepardfaut"/>
    <w:uiPriority w:val="32"/>
    <w:qFormat w:val="1"/>
    <w:rsid w:val="002E1EB1"/>
    <w:rPr>
      <w:b w:val="1"/>
      <w:bCs w:val="1"/>
      <w:smallCaps w:val="1"/>
      <w:color w:val="0f4761" w:themeColor="accent1" w:themeShade="0000BF"/>
      <w:spacing w:val="5"/>
    </w:rPr>
  </w:style>
  <w:style w:type="paragraph" w:styleId="NormalWeb">
    <w:name w:val="Normal (Web)"/>
    <w:basedOn w:val="Normal"/>
    <w:uiPriority w:val="99"/>
    <w:semiHidden w:val="1"/>
    <w:unhideWhenUsed w:val="1"/>
    <w:rsid w:val="00D61278"/>
    <w:pPr>
      <w:spacing w:after="100" w:afterAutospacing="1" w:before="100" w:beforeAutospacing="1" w:line="240" w:lineRule="auto"/>
    </w:pPr>
    <w:rPr>
      <w:rFonts w:ascii="Times New Roman" w:cs="Times New Roman" w:eastAsia="Times New Roman" w:hAnsi="Times New Roman"/>
      <w:kern w:val="0"/>
      <w:lang w:eastAsia="fr-FR"/>
    </w:rPr>
  </w:style>
  <w:style w:type="table" w:styleId="Grilledutableau">
    <w:name w:val="Table Grid"/>
    <w:basedOn w:val="TableauNormal"/>
    <w:uiPriority w:val="39"/>
    <w:rsid w:val="00150A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enhypertexte">
    <w:name w:val="Hyperlink"/>
    <w:basedOn w:val="Policepardfaut"/>
    <w:uiPriority w:val="99"/>
    <w:unhideWhenUsed w:val="1"/>
    <w:rsid w:val="00150A9D"/>
    <w:rPr>
      <w:color w:val="467886" w:themeColor="hyperlink"/>
      <w:u w:val="single"/>
    </w:rPr>
  </w:style>
  <w:style w:type="character" w:styleId="Mentionnonrsolue">
    <w:name w:val="Unresolved Mention"/>
    <w:basedOn w:val="Policepardfaut"/>
    <w:uiPriority w:val="99"/>
    <w:semiHidden w:val="1"/>
    <w:unhideWhenUsed w:val="1"/>
    <w:rsid w:val="00150A9D"/>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memoire-esclavage.org/biographies/henri-jean-baptiste-gregoi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2cN/dFa5dRKXvnb6HayTi5ssNQ==">CgMxLjA4AHIhMTJVcjhPN2laajZiank5RU9HZ0x4ckdydlN6NFNhcFNz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2026-01-02T19:03:00Z</dcterms:created>
  <dc:creator>David Barreau</dc:creator>
</cp:coreProperties>
</file>